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FD3AE" w14:textId="3B8A222D" w:rsidR="007D6D6B" w:rsidRPr="007D6D6B" w:rsidRDefault="007D6D6B" w:rsidP="007D6D6B">
      <w:pPr>
        <w:rPr>
          <w:sz w:val="28"/>
        </w:rPr>
      </w:pPr>
      <w:r w:rsidRPr="007D6D6B">
        <w:rPr>
          <w:b/>
          <w:i/>
        </w:rPr>
        <w:t xml:space="preserve">Annual </w:t>
      </w:r>
      <w:r>
        <w:rPr>
          <w:b/>
          <w:i/>
        </w:rPr>
        <w:t>Internal Audit Report 20</w:t>
      </w:r>
      <w:r w:rsidR="00D074F8">
        <w:rPr>
          <w:b/>
          <w:i/>
        </w:rPr>
        <w:t>20</w:t>
      </w:r>
      <w:r>
        <w:rPr>
          <w:b/>
          <w:i/>
        </w:rPr>
        <w:t>/20</w:t>
      </w:r>
      <w:r w:rsidR="00117266">
        <w:rPr>
          <w:b/>
          <w:i/>
        </w:rPr>
        <w:t>2</w:t>
      </w:r>
      <w:r w:rsidR="00D074F8">
        <w:rPr>
          <w:b/>
          <w:i/>
        </w:rPr>
        <w:t>1</w:t>
      </w:r>
      <w:r>
        <w:rPr>
          <w:b/>
          <w:i/>
        </w:rPr>
        <w:t xml:space="preserve"> – </w:t>
      </w:r>
      <w:r w:rsidR="00580898">
        <w:rPr>
          <w:b/>
          <w:i/>
          <w:sz w:val="28"/>
        </w:rPr>
        <w:t>STANSFIELD</w:t>
      </w:r>
      <w:r w:rsidRPr="00980F44">
        <w:rPr>
          <w:b/>
          <w:i/>
          <w:sz w:val="28"/>
        </w:rPr>
        <w:t xml:space="preserve"> PARISH COUNCIL</w:t>
      </w:r>
    </w:p>
    <w:tbl>
      <w:tblPr>
        <w:tblStyle w:val="TableGrid"/>
        <w:tblW w:w="15906" w:type="dxa"/>
        <w:tblInd w:w="-318" w:type="dxa"/>
        <w:tblLook w:val="04A0" w:firstRow="1" w:lastRow="0" w:firstColumn="1" w:lastColumn="0" w:noHBand="0" w:noVBand="1"/>
      </w:tblPr>
      <w:tblGrid>
        <w:gridCol w:w="1277"/>
        <w:gridCol w:w="6549"/>
        <w:gridCol w:w="8080"/>
      </w:tblGrid>
      <w:tr w:rsidR="007D6D6B" w:rsidRPr="00CE4A5D" w14:paraId="60A497FC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C22" w14:textId="77777777" w:rsidR="007D6D6B" w:rsidRPr="00CE4A5D" w:rsidRDefault="007D6D6B" w:rsidP="007D6D6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OBJECTIVE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35B" w14:textId="77777777" w:rsidR="007D6D6B" w:rsidRPr="00CE4A5D" w:rsidRDefault="007D6D6B" w:rsidP="007D6D6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INTERNAL CONTROL OBJECTIVE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F67" w14:textId="77777777" w:rsidR="007D6D6B" w:rsidRPr="00CE4A5D" w:rsidRDefault="007D6D6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COMMENTS</w:t>
            </w:r>
          </w:p>
        </w:tc>
      </w:tr>
      <w:tr w:rsidR="007D6D6B" w:rsidRPr="00CE4A5D" w14:paraId="21067A8D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906" w14:textId="77777777" w:rsidR="007D6D6B" w:rsidRPr="00CE4A5D" w:rsidRDefault="007D6D6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2EE" w14:textId="77777777" w:rsidR="007D6D6B" w:rsidRPr="00CE4A5D" w:rsidRDefault="007D6D6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Appropriate accounting records have been properly kept throughout the financial year.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455" w14:textId="37B49BE2" w:rsidR="007D6D6B" w:rsidRPr="00CE4A5D" w:rsidRDefault="00815668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Scribe Accounts </w:t>
            </w:r>
            <w:r w:rsidR="002F770B" w:rsidRPr="00CE4A5D">
              <w:rPr>
                <w:sz w:val="20"/>
                <w:szCs w:val="20"/>
              </w:rPr>
              <w:t>reports</w:t>
            </w:r>
          </w:p>
          <w:p w14:paraId="759E682D" w14:textId="77777777" w:rsidR="008169EB" w:rsidRPr="00CE4A5D" w:rsidRDefault="003136B1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Finance Report </w:t>
            </w:r>
            <w:r w:rsidR="00756425" w:rsidRPr="00CE4A5D">
              <w:rPr>
                <w:sz w:val="20"/>
                <w:szCs w:val="20"/>
              </w:rPr>
              <w:t xml:space="preserve">for Transparency Code compliance </w:t>
            </w:r>
            <w:r w:rsidR="009807C2" w:rsidRPr="00CE4A5D">
              <w:rPr>
                <w:sz w:val="20"/>
                <w:szCs w:val="20"/>
              </w:rPr>
              <w:t>with variance explanations</w:t>
            </w:r>
          </w:p>
          <w:p w14:paraId="79DFFD54" w14:textId="50E1EA84" w:rsidR="002A1DE3" w:rsidRPr="00CE4A5D" w:rsidRDefault="00DC48BD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Figures checked against </w:t>
            </w:r>
            <w:r w:rsidR="00790F9A" w:rsidRPr="00CE4A5D">
              <w:rPr>
                <w:sz w:val="20"/>
                <w:szCs w:val="20"/>
              </w:rPr>
              <w:t>AGAR Accounting Statement</w:t>
            </w:r>
          </w:p>
        </w:tc>
      </w:tr>
      <w:tr w:rsidR="00E9661B" w:rsidRPr="00CE4A5D" w14:paraId="04442FDE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3098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1A1" w14:textId="275BA5C3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 xml:space="preserve">This authority complied with its financial regulations, payments were supported by invoices, all expenditure was </w:t>
            </w:r>
            <w:r w:rsidR="00A00FB5" w:rsidRPr="00CE4A5D">
              <w:rPr>
                <w:b/>
                <w:sz w:val="20"/>
                <w:szCs w:val="20"/>
              </w:rPr>
              <w:t>approved,</w:t>
            </w:r>
            <w:r w:rsidRPr="00CE4A5D">
              <w:rPr>
                <w:b/>
                <w:sz w:val="20"/>
                <w:szCs w:val="20"/>
              </w:rPr>
              <w:t xml:space="preserve"> and VAT was appropriately accounted for.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088" w14:textId="15A35F3A" w:rsidR="006F7CA7" w:rsidRPr="00CE4A5D" w:rsidRDefault="00487621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Spo</w:t>
            </w:r>
            <w:r w:rsidR="004E703B" w:rsidRPr="00CE4A5D">
              <w:rPr>
                <w:sz w:val="20"/>
                <w:szCs w:val="20"/>
              </w:rPr>
              <w:t xml:space="preserve">t checks on cash book &amp; </w:t>
            </w:r>
            <w:r w:rsidR="00912101" w:rsidRPr="00CE4A5D">
              <w:rPr>
                <w:sz w:val="20"/>
                <w:szCs w:val="20"/>
              </w:rPr>
              <w:t>related authorised invoices</w:t>
            </w:r>
          </w:p>
          <w:p w14:paraId="3788DFE7" w14:textId="3911AB11" w:rsidR="00A81044" w:rsidRPr="00CE4A5D" w:rsidRDefault="00A81044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VAT claim checked</w:t>
            </w:r>
            <w:r w:rsidR="00007B60" w:rsidRPr="00CE4A5D">
              <w:rPr>
                <w:sz w:val="20"/>
                <w:szCs w:val="20"/>
              </w:rPr>
              <w:t xml:space="preserve"> (submitted </w:t>
            </w:r>
            <w:r w:rsidR="00E00EE7" w:rsidRPr="00CE4A5D">
              <w:rPr>
                <w:sz w:val="20"/>
                <w:szCs w:val="20"/>
              </w:rPr>
              <w:t>3</w:t>
            </w:r>
            <w:r w:rsidR="00C36F15">
              <w:rPr>
                <w:sz w:val="20"/>
                <w:szCs w:val="20"/>
              </w:rPr>
              <w:t>1</w:t>
            </w:r>
            <w:r w:rsidR="00E00EE7" w:rsidRPr="00CE4A5D">
              <w:rPr>
                <w:sz w:val="20"/>
                <w:szCs w:val="20"/>
              </w:rPr>
              <w:t>/3/21</w:t>
            </w:r>
            <w:r w:rsidR="0095637C" w:rsidRPr="00CE4A5D">
              <w:rPr>
                <w:sz w:val="20"/>
                <w:szCs w:val="20"/>
              </w:rPr>
              <w:t>)</w:t>
            </w:r>
          </w:p>
          <w:p w14:paraId="6CB8AFFB" w14:textId="5F415122" w:rsidR="0080569D" w:rsidRPr="00CE4A5D" w:rsidRDefault="0080569D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Financial Regulations &amp; Standing Orders </w:t>
            </w:r>
            <w:r w:rsidR="00070BEA" w:rsidRPr="00CE4A5D">
              <w:rPr>
                <w:sz w:val="20"/>
                <w:szCs w:val="20"/>
              </w:rPr>
              <w:t xml:space="preserve">reviewed </w:t>
            </w:r>
            <w:r w:rsidR="00497E4B">
              <w:rPr>
                <w:sz w:val="20"/>
                <w:szCs w:val="20"/>
              </w:rPr>
              <w:t>2</w:t>
            </w:r>
            <w:r w:rsidR="0015581F">
              <w:rPr>
                <w:sz w:val="20"/>
                <w:szCs w:val="20"/>
              </w:rPr>
              <w:t>0</w:t>
            </w:r>
            <w:r w:rsidR="00BC3464" w:rsidRPr="00CE4A5D">
              <w:rPr>
                <w:sz w:val="20"/>
                <w:szCs w:val="20"/>
              </w:rPr>
              <w:t>/7/20</w:t>
            </w:r>
          </w:p>
        </w:tc>
      </w:tr>
      <w:tr w:rsidR="00E9661B" w:rsidRPr="00CE4A5D" w14:paraId="62F1C0F0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88B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C60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This authority assessed the significant risks to achieving its objectives and reviewed the adequacy of arrangements to manage these.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41E" w14:textId="27E6C74A" w:rsidR="00E9661B" w:rsidRPr="00CE4A5D" w:rsidRDefault="008768FF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Risk Assess</w:t>
            </w:r>
            <w:r w:rsidR="0086095E" w:rsidRPr="00CE4A5D">
              <w:rPr>
                <w:sz w:val="20"/>
                <w:szCs w:val="20"/>
              </w:rPr>
              <w:t>ment in place for 20</w:t>
            </w:r>
            <w:r w:rsidR="000D516B" w:rsidRPr="00CE4A5D">
              <w:rPr>
                <w:sz w:val="20"/>
                <w:szCs w:val="20"/>
              </w:rPr>
              <w:t>20/2021</w:t>
            </w:r>
            <w:r w:rsidR="0086095E" w:rsidRPr="00CE4A5D">
              <w:rPr>
                <w:sz w:val="20"/>
                <w:szCs w:val="20"/>
              </w:rPr>
              <w:t xml:space="preserve">; reviewed </w:t>
            </w:r>
            <w:r w:rsidR="00FC15A0">
              <w:rPr>
                <w:sz w:val="20"/>
                <w:szCs w:val="20"/>
              </w:rPr>
              <w:t>15/</w:t>
            </w:r>
            <w:r w:rsidR="00596D30" w:rsidRPr="00CE4A5D">
              <w:rPr>
                <w:sz w:val="20"/>
                <w:szCs w:val="20"/>
              </w:rPr>
              <w:t>3/21</w:t>
            </w:r>
          </w:p>
        </w:tc>
      </w:tr>
      <w:tr w:rsidR="00E9661B" w:rsidRPr="00CE4A5D" w14:paraId="4AA731D8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04F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0D6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The precept or rates requirement resulted from an adequate budgetary process; progress against the budget was monitored; and reserves were appropriate.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0AF" w14:textId="77777777" w:rsidR="00E9661B" w:rsidRPr="00CE4A5D" w:rsidRDefault="00A1323E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Precept &amp; associated budget</w:t>
            </w:r>
            <w:r w:rsidR="006A3124" w:rsidRPr="00CE4A5D">
              <w:rPr>
                <w:sz w:val="20"/>
                <w:szCs w:val="20"/>
              </w:rPr>
              <w:t xml:space="preserve"> process</w:t>
            </w:r>
            <w:r w:rsidR="00242F88" w:rsidRPr="00CE4A5D">
              <w:rPr>
                <w:sz w:val="20"/>
                <w:szCs w:val="20"/>
              </w:rPr>
              <w:t xml:space="preserve"> checked</w:t>
            </w:r>
          </w:p>
          <w:p w14:paraId="54C7F6A4" w14:textId="5913306D" w:rsidR="00242F88" w:rsidRPr="00CE4A5D" w:rsidRDefault="00AA2E33" w:rsidP="007D6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Six-monthly</w:t>
            </w:r>
            <w:r w:rsidR="00C959D1" w:rsidRPr="00CE4A5D">
              <w:rPr>
                <w:sz w:val="20"/>
                <w:szCs w:val="20"/>
              </w:rPr>
              <w:t xml:space="preserve"> budget review in place</w:t>
            </w:r>
          </w:p>
          <w:p w14:paraId="3D88F837" w14:textId="0CB8FBC6" w:rsidR="006026F4" w:rsidRPr="00CE4A5D" w:rsidRDefault="00205C09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General &amp; ear-marked reserves in place at appropriate levels</w:t>
            </w:r>
            <w:r w:rsidR="00001338" w:rsidRPr="00CE4A5D">
              <w:rPr>
                <w:sz w:val="20"/>
                <w:szCs w:val="20"/>
              </w:rPr>
              <w:t xml:space="preserve"> &amp; in use </w:t>
            </w:r>
            <w:r w:rsidR="001C3EBF" w:rsidRPr="00CE4A5D">
              <w:rPr>
                <w:sz w:val="20"/>
                <w:szCs w:val="20"/>
              </w:rPr>
              <w:t>within budget</w:t>
            </w:r>
          </w:p>
        </w:tc>
      </w:tr>
      <w:tr w:rsidR="00E9661B" w:rsidRPr="00CE4A5D" w14:paraId="1D468E1C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979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CE" w14:textId="77777777" w:rsidR="00E9661B" w:rsidRPr="00CE4A5D" w:rsidRDefault="00E9661B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Expected income was fully received, based on correct prices, properly recorded and promptly banked; and VAT was appropriately accounted for.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AD4" w14:textId="77777777" w:rsidR="00E9661B" w:rsidRPr="00CE4A5D" w:rsidRDefault="004714F9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Spot checks on </w:t>
            </w:r>
            <w:r w:rsidR="000276F6" w:rsidRPr="00CE4A5D">
              <w:rPr>
                <w:sz w:val="20"/>
                <w:szCs w:val="20"/>
              </w:rPr>
              <w:t>cash book &amp; related income documentation</w:t>
            </w:r>
          </w:p>
          <w:p w14:paraId="59309679" w14:textId="4BC7EFB3" w:rsidR="009241D5" w:rsidRPr="00CE4A5D" w:rsidRDefault="009241D5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Income checked against bank statements</w:t>
            </w:r>
            <w:r w:rsidR="00B02892" w:rsidRPr="00CE4A5D">
              <w:rPr>
                <w:sz w:val="20"/>
                <w:szCs w:val="20"/>
              </w:rPr>
              <w:t xml:space="preserve">, </w:t>
            </w:r>
            <w:r w:rsidR="00C829B6" w:rsidRPr="00CE4A5D">
              <w:rPr>
                <w:sz w:val="20"/>
                <w:szCs w:val="20"/>
              </w:rPr>
              <w:t>including check on transfer transactions</w:t>
            </w:r>
          </w:p>
          <w:p w14:paraId="03EFB02E" w14:textId="6278FB22" w:rsidR="009241D5" w:rsidRPr="00CE4A5D" w:rsidRDefault="009241D5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VAT on income not applicable</w:t>
            </w:r>
            <w:r w:rsidR="0080552F" w:rsidRPr="00CE4A5D">
              <w:rPr>
                <w:sz w:val="20"/>
                <w:szCs w:val="20"/>
              </w:rPr>
              <w:t>; VAT refund received</w:t>
            </w:r>
          </w:p>
        </w:tc>
      </w:tr>
      <w:tr w:rsidR="00E9661B" w:rsidRPr="00CE4A5D" w14:paraId="1157441D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0E5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7EC" w14:textId="0A66DAF4" w:rsidR="00E9661B" w:rsidRPr="00CE4A5D" w:rsidRDefault="00E9661B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 xml:space="preserve">Petty cash payments were properly supported by receipts, all petty cash expenditure was </w:t>
            </w:r>
            <w:r w:rsidR="00A00FB5" w:rsidRPr="00CE4A5D">
              <w:rPr>
                <w:b/>
                <w:sz w:val="20"/>
                <w:szCs w:val="20"/>
              </w:rPr>
              <w:t>approved,</w:t>
            </w:r>
            <w:r w:rsidRPr="00CE4A5D">
              <w:rPr>
                <w:b/>
                <w:sz w:val="20"/>
                <w:szCs w:val="20"/>
              </w:rPr>
              <w:t xml:space="preserve"> and VAT appropriately accounted for.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48F" w14:textId="4C3FCE0C" w:rsidR="00E9661B" w:rsidRPr="00CE4A5D" w:rsidRDefault="00142F7C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No petty cash system in operation.</w:t>
            </w:r>
          </w:p>
        </w:tc>
      </w:tr>
      <w:tr w:rsidR="00E9661B" w:rsidRPr="00CE4A5D" w14:paraId="0E4AAC03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EEC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B07" w14:textId="77777777" w:rsidR="00E9661B" w:rsidRPr="00CE4A5D" w:rsidRDefault="00E9661B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Salaries to employees and allowances to members were paid in accordance with this authority’s approvals, and PAYE and NI requirements were properly applied.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71D" w14:textId="77777777" w:rsidR="00E9661B" w:rsidRPr="00CE4A5D" w:rsidRDefault="00A64162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Clerk salary</w:t>
            </w:r>
            <w:r w:rsidR="004F17AD" w:rsidRPr="00CE4A5D">
              <w:rPr>
                <w:sz w:val="20"/>
                <w:szCs w:val="20"/>
              </w:rPr>
              <w:t xml:space="preserve"> </w:t>
            </w:r>
            <w:r w:rsidR="008B739E" w:rsidRPr="00CE4A5D">
              <w:rPr>
                <w:sz w:val="20"/>
                <w:szCs w:val="20"/>
              </w:rPr>
              <w:t>recorded in confidential cashbook</w:t>
            </w:r>
            <w:r w:rsidR="0081110C" w:rsidRPr="00CE4A5D">
              <w:rPr>
                <w:sz w:val="20"/>
                <w:szCs w:val="20"/>
              </w:rPr>
              <w:t>; checked against employee records</w:t>
            </w:r>
          </w:p>
          <w:p w14:paraId="7B23D644" w14:textId="77777777" w:rsidR="0081110C" w:rsidRPr="00CE4A5D" w:rsidRDefault="0081110C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PAYE and NI records in place</w:t>
            </w:r>
            <w:r w:rsidR="00950139" w:rsidRPr="00CE4A5D">
              <w:rPr>
                <w:sz w:val="20"/>
                <w:szCs w:val="20"/>
              </w:rPr>
              <w:t>; records checked</w:t>
            </w:r>
          </w:p>
          <w:p w14:paraId="79E2D678" w14:textId="0234D642" w:rsidR="00A26E9C" w:rsidRPr="00CE4A5D" w:rsidRDefault="00A26E9C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Clerk contract &amp; job description in place</w:t>
            </w:r>
          </w:p>
        </w:tc>
      </w:tr>
      <w:tr w:rsidR="00E9661B" w:rsidRPr="00CE4A5D" w14:paraId="5B48968D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0A6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E0A" w14:textId="77777777" w:rsidR="00E9661B" w:rsidRPr="00CE4A5D" w:rsidRDefault="00E9661B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Asset and investments registers were complete and accurate and properly maintained.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BCF" w14:textId="77777777" w:rsidR="00E9661B" w:rsidRPr="00CE4A5D" w:rsidRDefault="007C4DC6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Detailed fixed assets register in place</w:t>
            </w:r>
          </w:p>
          <w:p w14:paraId="415B012B" w14:textId="721ABB34" w:rsidR="00AA5C49" w:rsidRPr="00CE4A5D" w:rsidRDefault="00B252C2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Parish Protect – Insurance until </w:t>
            </w:r>
            <w:r w:rsidR="00DE25BD">
              <w:rPr>
                <w:sz w:val="20"/>
                <w:szCs w:val="20"/>
              </w:rPr>
              <w:t>30</w:t>
            </w:r>
            <w:r w:rsidR="004655F9">
              <w:rPr>
                <w:sz w:val="20"/>
                <w:szCs w:val="20"/>
              </w:rPr>
              <w:t>/</w:t>
            </w:r>
            <w:r w:rsidR="00A13214">
              <w:rPr>
                <w:sz w:val="20"/>
                <w:szCs w:val="20"/>
              </w:rPr>
              <w:t>9</w:t>
            </w:r>
            <w:r w:rsidR="004655F9">
              <w:rPr>
                <w:sz w:val="20"/>
                <w:szCs w:val="20"/>
              </w:rPr>
              <w:t>/21</w:t>
            </w:r>
          </w:p>
        </w:tc>
      </w:tr>
      <w:tr w:rsidR="00E9661B" w:rsidRPr="00CE4A5D" w14:paraId="0C043FD9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774" w14:textId="77777777" w:rsidR="00E9661B" w:rsidRPr="00CE4A5D" w:rsidRDefault="00E9661B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3A8" w14:textId="4246E663" w:rsidR="00E9661B" w:rsidRPr="00CE4A5D" w:rsidRDefault="00E9661B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Periodi</w:t>
            </w:r>
            <w:r w:rsidR="00C94D23" w:rsidRPr="00CE4A5D">
              <w:rPr>
                <w:b/>
                <w:sz w:val="20"/>
                <w:szCs w:val="20"/>
              </w:rPr>
              <w:t>c and year-end bank account reconciliations were properly carried out</w:t>
            </w:r>
            <w:r w:rsidR="003C624E" w:rsidRPr="00CE4A5D">
              <w:rPr>
                <w:b/>
                <w:sz w:val="20"/>
                <w:szCs w:val="20"/>
              </w:rPr>
              <w:t xml:space="preserve"> during the year</w:t>
            </w:r>
            <w:r w:rsidR="00380243" w:rsidRPr="00CE4A5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C3C" w14:textId="77777777" w:rsidR="00793443" w:rsidRPr="00CE4A5D" w:rsidRDefault="00793443" w:rsidP="00793443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End of Year Bank Reconciliation checked against bank statements</w:t>
            </w:r>
          </w:p>
          <w:p w14:paraId="2F37D572" w14:textId="59E5B57F" w:rsidR="00E9661B" w:rsidRPr="00CE4A5D" w:rsidRDefault="00691105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Bank reconciliations checked </w:t>
            </w:r>
            <w:r w:rsidR="00702672" w:rsidRPr="00CE4A5D">
              <w:rPr>
                <w:sz w:val="20"/>
                <w:szCs w:val="20"/>
              </w:rPr>
              <w:t>against statements at council meetings</w:t>
            </w:r>
          </w:p>
        </w:tc>
      </w:tr>
      <w:tr w:rsidR="00C94D23" w:rsidRPr="00CE4A5D" w14:paraId="2A64B5FE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B14" w14:textId="74A6A9FC" w:rsidR="00C94D23" w:rsidRPr="00CE4A5D" w:rsidRDefault="00C94D23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3D7" w14:textId="5D3D1F95" w:rsidR="00C94D23" w:rsidRPr="00CE4A5D" w:rsidRDefault="00C94D23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Accounting statements prepared during the year were prepared on the correct</w:t>
            </w:r>
            <w:r w:rsidR="00F550BD" w:rsidRPr="00CE4A5D">
              <w:rPr>
                <w:b/>
                <w:sz w:val="20"/>
                <w:szCs w:val="20"/>
              </w:rPr>
              <w:t xml:space="preserve"> accounting basis, agreed to the cash book, supported by an adequate audit trail from underlying record</w:t>
            </w:r>
            <w:r w:rsidR="00AB4CAF" w:rsidRPr="00CE4A5D">
              <w:rPr>
                <w:b/>
                <w:sz w:val="20"/>
                <w:szCs w:val="20"/>
              </w:rPr>
              <w:t>s</w:t>
            </w:r>
            <w:r w:rsidR="008C2480" w:rsidRPr="00CE4A5D">
              <w:rPr>
                <w:b/>
                <w:sz w:val="20"/>
                <w:szCs w:val="20"/>
              </w:rPr>
              <w:t xml:space="preserve"> and where appropriate debtors and creditors were properly recorded.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D85" w14:textId="77777777" w:rsidR="00C94D23" w:rsidRPr="00CE4A5D" w:rsidRDefault="00F25C6F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Receipts &amp; Payments.</w:t>
            </w:r>
          </w:p>
          <w:p w14:paraId="14D0D414" w14:textId="7E109943" w:rsidR="00D65CC9" w:rsidRPr="00CE4A5D" w:rsidRDefault="00D65CC9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Spot checks carried out </w:t>
            </w:r>
            <w:r w:rsidR="0026076C" w:rsidRPr="00CE4A5D">
              <w:rPr>
                <w:sz w:val="20"/>
                <w:szCs w:val="20"/>
              </w:rPr>
              <w:t>on</w:t>
            </w:r>
            <w:r w:rsidRPr="00CE4A5D">
              <w:rPr>
                <w:sz w:val="20"/>
                <w:szCs w:val="20"/>
              </w:rPr>
              <w:t xml:space="preserve"> cash book </w:t>
            </w:r>
            <w:r w:rsidR="002D5491" w:rsidRPr="00CE4A5D">
              <w:rPr>
                <w:sz w:val="20"/>
                <w:szCs w:val="20"/>
              </w:rPr>
              <w:t xml:space="preserve">&amp; </w:t>
            </w:r>
            <w:r w:rsidR="00F7112D" w:rsidRPr="00CE4A5D">
              <w:rPr>
                <w:sz w:val="20"/>
                <w:szCs w:val="20"/>
              </w:rPr>
              <w:t>invoices</w:t>
            </w:r>
            <w:r w:rsidR="006B5098" w:rsidRPr="00CE4A5D">
              <w:rPr>
                <w:sz w:val="20"/>
                <w:szCs w:val="20"/>
              </w:rPr>
              <w:t>/</w:t>
            </w:r>
            <w:r w:rsidR="00F7112D" w:rsidRPr="00CE4A5D">
              <w:rPr>
                <w:sz w:val="20"/>
                <w:szCs w:val="20"/>
              </w:rPr>
              <w:t>receipt documentation</w:t>
            </w:r>
          </w:p>
        </w:tc>
      </w:tr>
      <w:tr w:rsidR="00AB4CAF" w:rsidRPr="00CE4A5D" w14:paraId="5733F46E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5A3" w14:textId="7F350051" w:rsidR="00AB4CAF" w:rsidRPr="00CE4A5D" w:rsidRDefault="00AB4CAF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2F3" w14:textId="0BDF909A" w:rsidR="00AB4CAF" w:rsidRPr="00CE4A5D" w:rsidRDefault="00AB4CAF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I</w:t>
            </w:r>
            <w:r w:rsidR="0022763D" w:rsidRPr="00CE4A5D">
              <w:rPr>
                <w:b/>
                <w:sz w:val="20"/>
                <w:szCs w:val="20"/>
              </w:rPr>
              <w:t>f</w:t>
            </w:r>
            <w:r w:rsidRPr="00CE4A5D">
              <w:rPr>
                <w:b/>
                <w:sz w:val="20"/>
                <w:szCs w:val="20"/>
              </w:rPr>
              <w:t xml:space="preserve"> the authority certified itself as exempt from a limited review in 201</w:t>
            </w:r>
            <w:r w:rsidR="008C21BF" w:rsidRPr="00CE4A5D">
              <w:rPr>
                <w:b/>
                <w:sz w:val="20"/>
                <w:szCs w:val="20"/>
              </w:rPr>
              <w:t>9/20</w:t>
            </w:r>
            <w:r w:rsidR="003F2F7F" w:rsidRPr="00CE4A5D">
              <w:rPr>
                <w:b/>
                <w:sz w:val="20"/>
                <w:szCs w:val="20"/>
              </w:rPr>
              <w:t>, it met the exception criteria and correctly declared itself exempt.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47C" w14:textId="2454C756" w:rsidR="00AB4CAF" w:rsidRPr="0071171B" w:rsidRDefault="00B95E62" w:rsidP="008837CB">
            <w:r w:rsidRPr="00CE4A5D">
              <w:rPr>
                <w:sz w:val="20"/>
                <w:szCs w:val="20"/>
              </w:rPr>
              <w:t xml:space="preserve">Certificate on </w:t>
            </w:r>
            <w:hyperlink r:id="rId7" w:history="1">
              <w:r w:rsidR="008837CB" w:rsidRPr="00714FD6">
                <w:rPr>
                  <w:rStyle w:val="Hyperlink"/>
                  <w:sz w:val="20"/>
                  <w:szCs w:val="20"/>
                </w:rPr>
                <w:t>stansfieldparishcouncil@yahoo.co.uk</w:t>
              </w:r>
            </w:hyperlink>
            <w:r w:rsidR="008837CB">
              <w:rPr>
                <w:sz w:val="20"/>
                <w:szCs w:val="20"/>
              </w:rPr>
              <w:t xml:space="preserve"> </w:t>
            </w:r>
            <w:r w:rsidRPr="00CE4A5D">
              <w:rPr>
                <w:sz w:val="20"/>
                <w:szCs w:val="20"/>
              </w:rPr>
              <w:t>website</w:t>
            </w:r>
          </w:p>
        </w:tc>
      </w:tr>
      <w:tr w:rsidR="00DF7AAC" w:rsidRPr="00CE4A5D" w14:paraId="3F8EB317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EE9" w14:textId="60794F99" w:rsidR="00DF7AAC" w:rsidRPr="00CE4A5D" w:rsidRDefault="00DF7AAC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46A" w14:textId="5561DB63" w:rsidR="00DF7AAC" w:rsidRPr="00CE4A5D" w:rsidRDefault="00B510ED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The authority publishes information on a website/webpage, up to date at the time of the internal audit, in accordance with the Transparency code for smaller authorities.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332" w14:textId="3C139B1C" w:rsidR="00DF7AAC" w:rsidRPr="00CE4A5D" w:rsidRDefault="005C3B2C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Yes</w:t>
            </w:r>
          </w:p>
        </w:tc>
      </w:tr>
      <w:tr w:rsidR="004F3A0C" w:rsidRPr="00CE4A5D" w14:paraId="0138DB8A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5C0" w14:textId="40CBD313" w:rsidR="004F3A0C" w:rsidRPr="00CE4A5D" w:rsidRDefault="00B510ED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471" w14:textId="587B87CE" w:rsidR="004F3A0C" w:rsidRPr="00CE4A5D" w:rsidRDefault="00E00428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The authority</w:t>
            </w:r>
            <w:r w:rsidR="0052678E" w:rsidRPr="00CE4A5D">
              <w:rPr>
                <w:b/>
                <w:sz w:val="20"/>
                <w:szCs w:val="20"/>
              </w:rPr>
              <w:t xml:space="preserve">, during the previous year (2019-20) correctly provided for the period of </w:t>
            </w:r>
            <w:r w:rsidRPr="00CE4A5D">
              <w:rPr>
                <w:b/>
                <w:sz w:val="20"/>
                <w:szCs w:val="20"/>
              </w:rPr>
              <w:t>public rights as required by the Accounts and Audit Regulations.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041" w14:textId="65E8A183" w:rsidR="004F3A0C" w:rsidRPr="00CE4A5D" w:rsidRDefault="000966A9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 xml:space="preserve">Exercise of Public Rights posted on </w:t>
            </w:r>
            <w:hyperlink r:id="rId8" w:history="1">
              <w:r w:rsidR="00031315" w:rsidRPr="001B1F7A">
                <w:rPr>
                  <w:rStyle w:val="Hyperlink"/>
                  <w:sz w:val="20"/>
                  <w:szCs w:val="20"/>
                </w:rPr>
                <w:t>stansfieldparishcouncil@yahoo.co.uk</w:t>
              </w:r>
            </w:hyperlink>
            <w:r w:rsidR="00031315">
              <w:rPr>
                <w:sz w:val="20"/>
                <w:szCs w:val="20"/>
              </w:rPr>
              <w:t xml:space="preserve"> </w:t>
            </w:r>
            <w:r w:rsidRPr="00CE4A5D">
              <w:rPr>
                <w:sz w:val="20"/>
                <w:szCs w:val="20"/>
              </w:rPr>
              <w:t>website</w:t>
            </w:r>
          </w:p>
        </w:tc>
      </w:tr>
      <w:tr w:rsidR="009C510F" w:rsidRPr="00CE4A5D" w14:paraId="6245853B" w14:textId="77777777" w:rsidTr="007D6D6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287" w14:textId="20152471" w:rsidR="009C510F" w:rsidRPr="00CE4A5D" w:rsidRDefault="009C510F" w:rsidP="007D6D6B">
            <w:pPr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835" w14:textId="0BCA8D80" w:rsidR="009C510F" w:rsidRPr="00CE4A5D" w:rsidRDefault="00FA223A" w:rsidP="00E9661B">
            <w:pPr>
              <w:tabs>
                <w:tab w:val="left" w:pos="4644"/>
              </w:tabs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The authority has complied with the publication requirements for 2019/20 AGAR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A23" w14:textId="7AE7A8FE" w:rsidR="009C510F" w:rsidRPr="00CE4A5D" w:rsidRDefault="004878A7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Certificate of Exemption, Annual Internal Audit Report</w:t>
            </w:r>
            <w:r w:rsidR="00D245FF" w:rsidRPr="00CE4A5D">
              <w:rPr>
                <w:sz w:val="20"/>
                <w:szCs w:val="20"/>
              </w:rPr>
              <w:t>, Annual Governance Statement, Accounting Statement, Notice of Audit published.</w:t>
            </w:r>
          </w:p>
        </w:tc>
      </w:tr>
      <w:tr w:rsidR="00150B7A" w:rsidRPr="00CE4A5D" w14:paraId="036855A0" w14:textId="77777777" w:rsidTr="006B4CBD"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DC3" w14:textId="0A7D545D" w:rsidR="00150B7A" w:rsidRPr="00CE4A5D" w:rsidRDefault="00150B7A" w:rsidP="00150B7A">
            <w:pPr>
              <w:pStyle w:val="ListParagraph"/>
              <w:tabs>
                <w:tab w:val="left" w:pos="4644"/>
              </w:tabs>
              <w:jc w:val="both"/>
              <w:rPr>
                <w:b/>
                <w:sz w:val="20"/>
                <w:szCs w:val="20"/>
              </w:rPr>
            </w:pPr>
            <w:r w:rsidRPr="00CE4A5D">
              <w:rPr>
                <w:b/>
                <w:sz w:val="20"/>
                <w:szCs w:val="20"/>
              </w:rPr>
              <w:t>Further Comments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FCC" w14:textId="65FA39A5" w:rsidR="00150B7A" w:rsidRPr="00CE4A5D" w:rsidRDefault="002C2616" w:rsidP="007D6D6B">
            <w:pPr>
              <w:rPr>
                <w:sz w:val="20"/>
                <w:szCs w:val="20"/>
              </w:rPr>
            </w:pPr>
            <w:r w:rsidRPr="00CE4A5D">
              <w:rPr>
                <w:sz w:val="20"/>
                <w:szCs w:val="20"/>
              </w:rPr>
              <w:t>ICO u</w:t>
            </w:r>
            <w:r w:rsidR="00E470F2" w:rsidRPr="00CE4A5D">
              <w:rPr>
                <w:sz w:val="20"/>
                <w:szCs w:val="20"/>
              </w:rPr>
              <w:t>p-to-date</w:t>
            </w:r>
            <w:r w:rsidR="005F2259" w:rsidRPr="00CE4A5D">
              <w:rPr>
                <w:sz w:val="20"/>
                <w:szCs w:val="20"/>
              </w:rPr>
              <w:t xml:space="preserve"> registration</w:t>
            </w:r>
            <w:r w:rsidR="009F7F2C" w:rsidRPr="00CE4A5D">
              <w:rPr>
                <w:sz w:val="20"/>
                <w:szCs w:val="20"/>
              </w:rPr>
              <w:t xml:space="preserve"> certificate </w:t>
            </w:r>
            <w:r w:rsidR="006A7B9E" w:rsidRPr="00CE4A5D">
              <w:rPr>
                <w:sz w:val="20"/>
                <w:szCs w:val="20"/>
              </w:rPr>
              <w:t xml:space="preserve">until </w:t>
            </w:r>
            <w:r w:rsidR="00497E4B">
              <w:rPr>
                <w:sz w:val="20"/>
                <w:szCs w:val="20"/>
              </w:rPr>
              <w:t>9 November</w:t>
            </w:r>
            <w:r w:rsidR="006A7B9E" w:rsidRPr="00CE4A5D">
              <w:rPr>
                <w:sz w:val="20"/>
                <w:szCs w:val="20"/>
              </w:rPr>
              <w:t xml:space="preserve"> 20</w:t>
            </w:r>
            <w:r w:rsidRPr="00CE4A5D">
              <w:rPr>
                <w:sz w:val="20"/>
                <w:szCs w:val="20"/>
              </w:rPr>
              <w:t>2</w:t>
            </w:r>
            <w:r w:rsidR="00CE4A5D" w:rsidRPr="00CE4A5D">
              <w:rPr>
                <w:sz w:val="20"/>
                <w:szCs w:val="20"/>
              </w:rPr>
              <w:t>1</w:t>
            </w:r>
          </w:p>
        </w:tc>
      </w:tr>
    </w:tbl>
    <w:p w14:paraId="494D4A46" w14:textId="7F1A500D" w:rsidR="00142F7C" w:rsidRDefault="009D3724" w:rsidP="00CC21E4">
      <w:pPr>
        <w:spacing w:after="0"/>
      </w:pPr>
      <w:r>
        <w:t>Audit and report prepared by Cathy Whitaker; Finance Manager of Newmarket Town Council / Clerk of Exning Parish Council.</w:t>
      </w:r>
    </w:p>
    <w:p w14:paraId="2F7E0C84" w14:textId="679B2EFA" w:rsidR="009D3724" w:rsidRDefault="00F87C10">
      <w:r>
        <w:t>1</w:t>
      </w:r>
      <w:r w:rsidR="00671CE6">
        <w:t>9</w:t>
      </w:r>
      <w:r w:rsidR="00C36F33">
        <w:t>/4/21</w:t>
      </w:r>
      <w:r w:rsidR="00CC21E4">
        <w:tab/>
      </w:r>
      <w:r w:rsidR="00CC21E4">
        <w:rPr>
          <w:noProof/>
        </w:rPr>
        <w:drawing>
          <wp:inline distT="0" distB="0" distL="0" distR="0" wp14:anchorId="0FA4D0D7" wp14:editId="29F86BFC">
            <wp:extent cx="1310640" cy="241434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GITAL SIGNATURE CE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93" cy="24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724" w:rsidSect="0022763D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DA75C" w14:textId="77777777" w:rsidR="003C28DC" w:rsidRDefault="003C28DC" w:rsidP="00993112">
      <w:pPr>
        <w:spacing w:after="0" w:line="240" w:lineRule="auto"/>
      </w:pPr>
      <w:r>
        <w:separator/>
      </w:r>
    </w:p>
  </w:endnote>
  <w:endnote w:type="continuationSeparator" w:id="0">
    <w:p w14:paraId="7E064BFD" w14:textId="77777777" w:rsidR="003C28DC" w:rsidRDefault="003C28DC" w:rsidP="0099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50BCE" w14:textId="77777777" w:rsidR="003C28DC" w:rsidRDefault="003C28DC" w:rsidP="00993112">
      <w:pPr>
        <w:spacing w:after="0" w:line="240" w:lineRule="auto"/>
      </w:pPr>
      <w:r>
        <w:separator/>
      </w:r>
    </w:p>
  </w:footnote>
  <w:footnote w:type="continuationSeparator" w:id="0">
    <w:p w14:paraId="135AF0FD" w14:textId="77777777" w:rsidR="003C28DC" w:rsidRDefault="003C28DC" w:rsidP="0099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70C2"/>
    <w:multiLevelType w:val="hybridMultilevel"/>
    <w:tmpl w:val="08CA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B"/>
    <w:rsid w:val="00001338"/>
    <w:rsid w:val="00007B60"/>
    <w:rsid w:val="00026568"/>
    <w:rsid w:val="000276F6"/>
    <w:rsid w:val="00031315"/>
    <w:rsid w:val="00034D08"/>
    <w:rsid w:val="00070BEA"/>
    <w:rsid w:val="0009448E"/>
    <w:rsid w:val="000966A9"/>
    <w:rsid w:val="000D516B"/>
    <w:rsid w:val="000E1A20"/>
    <w:rsid w:val="000E30FC"/>
    <w:rsid w:val="000F12E4"/>
    <w:rsid w:val="00101495"/>
    <w:rsid w:val="00117266"/>
    <w:rsid w:val="00122708"/>
    <w:rsid w:val="00142F7C"/>
    <w:rsid w:val="00150B7A"/>
    <w:rsid w:val="00153F81"/>
    <w:rsid w:val="0015581F"/>
    <w:rsid w:val="001C3EBF"/>
    <w:rsid w:val="00202467"/>
    <w:rsid w:val="00205C09"/>
    <w:rsid w:val="0022763D"/>
    <w:rsid w:val="00237145"/>
    <w:rsid w:val="00242F88"/>
    <w:rsid w:val="00253CF0"/>
    <w:rsid w:val="0026076C"/>
    <w:rsid w:val="002618FA"/>
    <w:rsid w:val="00273130"/>
    <w:rsid w:val="002A1DE3"/>
    <w:rsid w:val="002C2616"/>
    <w:rsid w:val="002D4BE7"/>
    <w:rsid w:val="002D5491"/>
    <w:rsid w:val="002E43B4"/>
    <w:rsid w:val="002F6E14"/>
    <w:rsid w:val="002F770B"/>
    <w:rsid w:val="0030636B"/>
    <w:rsid w:val="003136B1"/>
    <w:rsid w:val="00337476"/>
    <w:rsid w:val="00341B00"/>
    <w:rsid w:val="00380243"/>
    <w:rsid w:val="003A6B2A"/>
    <w:rsid w:val="003B281F"/>
    <w:rsid w:val="003C28DC"/>
    <w:rsid w:val="003C624E"/>
    <w:rsid w:val="003E66FD"/>
    <w:rsid w:val="003F2F7F"/>
    <w:rsid w:val="004513A1"/>
    <w:rsid w:val="0045356A"/>
    <w:rsid w:val="004654FD"/>
    <w:rsid w:val="004655F9"/>
    <w:rsid w:val="004714F9"/>
    <w:rsid w:val="00487621"/>
    <w:rsid w:val="004878A7"/>
    <w:rsid w:val="00497E4B"/>
    <w:rsid w:val="004C27C8"/>
    <w:rsid w:val="004D381A"/>
    <w:rsid w:val="004E703B"/>
    <w:rsid w:val="004F17AD"/>
    <w:rsid w:val="004F3A0C"/>
    <w:rsid w:val="00513E7E"/>
    <w:rsid w:val="0052678E"/>
    <w:rsid w:val="00544708"/>
    <w:rsid w:val="00573B6E"/>
    <w:rsid w:val="00580898"/>
    <w:rsid w:val="00594156"/>
    <w:rsid w:val="00596D30"/>
    <w:rsid w:val="005B64E6"/>
    <w:rsid w:val="005C3B2C"/>
    <w:rsid w:val="005C7349"/>
    <w:rsid w:val="005F2259"/>
    <w:rsid w:val="006026F4"/>
    <w:rsid w:val="006066FA"/>
    <w:rsid w:val="00611C21"/>
    <w:rsid w:val="006169BB"/>
    <w:rsid w:val="00622B61"/>
    <w:rsid w:val="0065220F"/>
    <w:rsid w:val="00671CE6"/>
    <w:rsid w:val="006745DF"/>
    <w:rsid w:val="00691105"/>
    <w:rsid w:val="006A3124"/>
    <w:rsid w:val="006A7B9E"/>
    <w:rsid w:val="006B5098"/>
    <w:rsid w:val="006E4464"/>
    <w:rsid w:val="006F7CA7"/>
    <w:rsid w:val="00702672"/>
    <w:rsid w:val="00702D54"/>
    <w:rsid w:val="0071171B"/>
    <w:rsid w:val="00741877"/>
    <w:rsid w:val="00751992"/>
    <w:rsid w:val="00756425"/>
    <w:rsid w:val="00765A64"/>
    <w:rsid w:val="00774CF7"/>
    <w:rsid w:val="00790F9A"/>
    <w:rsid w:val="00793443"/>
    <w:rsid w:val="00793F0B"/>
    <w:rsid w:val="00795ACC"/>
    <w:rsid w:val="007A06BD"/>
    <w:rsid w:val="007C4DC6"/>
    <w:rsid w:val="007C679E"/>
    <w:rsid w:val="007D6D6B"/>
    <w:rsid w:val="007E07EE"/>
    <w:rsid w:val="007F5C5B"/>
    <w:rsid w:val="0080552F"/>
    <w:rsid w:val="0080569D"/>
    <w:rsid w:val="0081110C"/>
    <w:rsid w:val="00815668"/>
    <w:rsid w:val="008169EB"/>
    <w:rsid w:val="008216D4"/>
    <w:rsid w:val="00822D3D"/>
    <w:rsid w:val="0086095E"/>
    <w:rsid w:val="00860CCC"/>
    <w:rsid w:val="008768FF"/>
    <w:rsid w:val="008837CB"/>
    <w:rsid w:val="008B739E"/>
    <w:rsid w:val="008C21BF"/>
    <w:rsid w:val="008C2480"/>
    <w:rsid w:val="00912101"/>
    <w:rsid w:val="00920FC6"/>
    <w:rsid w:val="00922B73"/>
    <w:rsid w:val="009241D5"/>
    <w:rsid w:val="00950139"/>
    <w:rsid w:val="0095637C"/>
    <w:rsid w:val="009807C2"/>
    <w:rsid w:val="00980F44"/>
    <w:rsid w:val="009871FB"/>
    <w:rsid w:val="00992E6C"/>
    <w:rsid w:val="00993112"/>
    <w:rsid w:val="009C510F"/>
    <w:rsid w:val="009D3724"/>
    <w:rsid w:val="009E0800"/>
    <w:rsid w:val="009F7F2C"/>
    <w:rsid w:val="00A00FB5"/>
    <w:rsid w:val="00A13214"/>
    <w:rsid w:val="00A1323E"/>
    <w:rsid w:val="00A26E9C"/>
    <w:rsid w:val="00A62522"/>
    <w:rsid w:val="00A63382"/>
    <w:rsid w:val="00A64162"/>
    <w:rsid w:val="00A81044"/>
    <w:rsid w:val="00AA2E33"/>
    <w:rsid w:val="00AA5C49"/>
    <w:rsid w:val="00AB4CAF"/>
    <w:rsid w:val="00AC4818"/>
    <w:rsid w:val="00AE071D"/>
    <w:rsid w:val="00AE51E5"/>
    <w:rsid w:val="00B02892"/>
    <w:rsid w:val="00B252C2"/>
    <w:rsid w:val="00B446B0"/>
    <w:rsid w:val="00B510ED"/>
    <w:rsid w:val="00B731E3"/>
    <w:rsid w:val="00B73F7C"/>
    <w:rsid w:val="00B76CB9"/>
    <w:rsid w:val="00B95E62"/>
    <w:rsid w:val="00BA01BD"/>
    <w:rsid w:val="00BB1270"/>
    <w:rsid w:val="00BC3464"/>
    <w:rsid w:val="00BD1EE1"/>
    <w:rsid w:val="00BF18A1"/>
    <w:rsid w:val="00BF47E4"/>
    <w:rsid w:val="00C11E00"/>
    <w:rsid w:val="00C15445"/>
    <w:rsid w:val="00C36F15"/>
    <w:rsid w:val="00C36F33"/>
    <w:rsid w:val="00C40533"/>
    <w:rsid w:val="00C70B26"/>
    <w:rsid w:val="00C829B6"/>
    <w:rsid w:val="00C94D23"/>
    <w:rsid w:val="00C959D1"/>
    <w:rsid w:val="00CB4644"/>
    <w:rsid w:val="00CC21E4"/>
    <w:rsid w:val="00CD7584"/>
    <w:rsid w:val="00CE4A5D"/>
    <w:rsid w:val="00D03101"/>
    <w:rsid w:val="00D074F8"/>
    <w:rsid w:val="00D245FF"/>
    <w:rsid w:val="00D37846"/>
    <w:rsid w:val="00D52BD7"/>
    <w:rsid w:val="00D56522"/>
    <w:rsid w:val="00D65CC9"/>
    <w:rsid w:val="00DB40E5"/>
    <w:rsid w:val="00DC48BD"/>
    <w:rsid w:val="00DD142F"/>
    <w:rsid w:val="00DD18F0"/>
    <w:rsid w:val="00DE25BD"/>
    <w:rsid w:val="00DF7AAC"/>
    <w:rsid w:val="00E00428"/>
    <w:rsid w:val="00E00EE7"/>
    <w:rsid w:val="00E23574"/>
    <w:rsid w:val="00E470F2"/>
    <w:rsid w:val="00E5483D"/>
    <w:rsid w:val="00E564F2"/>
    <w:rsid w:val="00E63697"/>
    <w:rsid w:val="00E734A6"/>
    <w:rsid w:val="00E9661B"/>
    <w:rsid w:val="00EB4A78"/>
    <w:rsid w:val="00EF2641"/>
    <w:rsid w:val="00F00E3C"/>
    <w:rsid w:val="00F10F6B"/>
    <w:rsid w:val="00F25C6F"/>
    <w:rsid w:val="00F550BD"/>
    <w:rsid w:val="00F7112D"/>
    <w:rsid w:val="00F87C10"/>
    <w:rsid w:val="00FA223A"/>
    <w:rsid w:val="00FC15A0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B0A7"/>
  <w15:chartTrackingRefBased/>
  <w15:docId w15:val="{1D77B39B-2F14-421E-AB22-46B0FFBE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3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112"/>
  </w:style>
  <w:style w:type="paragraph" w:styleId="Footer">
    <w:name w:val="footer"/>
    <w:basedOn w:val="Normal"/>
    <w:link w:val="FooterChar"/>
    <w:uiPriority w:val="99"/>
    <w:unhideWhenUsed/>
    <w:rsid w:val="00993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112"/>
  </w:style>
  <w:style w:type="character" w:styleId="Hyperlink">
    <w:name w:val="Hyperlink"/>
    <w:basedOn w:val="DefaultParagraphFont"/>
    <w:uiPriority w:val="99"/>
    <w:unhideWhenUsed/>
    <w:rsid w:val="00E56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25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fieldparishcouncil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sfieldparishcouncil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Whitaker</dc:creator>
  <cp:keywords/>
  <dc:description/>
  <cp:lastModifiedBy>Joanne Kirk</cp:lastModifiedBy>
  <cp:revision>2</cp:revision>
  <cp:lastPrinted>2020-06-28T22:48:00Z</cp:lastPrinted>
  <dcterms:created xsi:type="dcterms:W3CDTF">2021-04-29T17:47:00Z</dcterms:created>
  <dcterms:modified xsi:type="dcterms:W3CDTF">2021-04-29T17:47:00Z</dcterms:modified>
</cp:coreProperties>
</file>